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004AAE">
        <w:rPr>
          <w:sz w:val="24"/>
          <w:szCs w:val="24"/>
        </w:rPr>
        <w:t>5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004AAE">
        <w:rPr>
          <w:sz w:val="24"/>
          <w:szCs w:val="24"/>
        </w:rPr>
        <w:t>16</w:t>
      </w:r>
      <w:r w:rsidR="009A77E9">
        <w:rPr>
          <w:sz w:val="24"/>
          <w:szCs w:val="24"/>
        </w:rPr>
        <w:t xml:space="preserve"> de </w:t>
      </w:r>
      <w:r w:rsidR="001266D8">
        <w:rPr>
          <w:sz w:val="24"/>
          <w:szCs w:val="24"/>
        </w:rPr>
        <w:t>febr</w:t>
      </w:r>
      <w:r w:rsidR="00555E46">
        <w:rPr>
          <w:sz w:val="24"/>
          <w:szCs w:val="24"/>
        </w:rPr>
        <w:t>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E62D23">
        <w:rPr>
          <w:b/>
        </w:rPr>
        <w:t xml:space="preserve">Copa 2024 / 2025  </w:t>
      </w:r>
      <w:r w:rsidR="00004AAE">
        <w:rPr>
          <w:b/>
        </w:rPr>
        <w:t>Cuartos</w:t>
      </w:r>
      <w:r w:rsidR="00E62D23">
        <w:rPr>
          <w:b/>
        </w:rPr>
        <w:t xml:space="preserve"> de final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2008"/>
        <w:gridCol w:w="709"/>
        <w:gridCol w:w="1701"/>
        <w:gridCol w:w="708"/>
      </w:tblGrid>
      <w:tr w:rsidR="00004AAE" w:rsidRPr="0047077E" w:rsidTr="00004AAE">
        <w:trPr>
          <w:trHeight w:val="187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Pr="0047077E" w:rsidRDefault="00004AAE" w:rsidP="00A02B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Pr="0047077E" w:rsidRDefault="00004AAE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004AAE" w:rsidRPr="0047077E" w:rsidTr="00004AAE">
        <w:trPr>
          <w:trHeight w:val="187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</w:p>
          <w:p w:rsidR="00004AAE" w:rsidRDefault="00004AAE" w:rsidP="00B54C4E">
            <w:pPr>
              <w:pStyle w:val="NormalWeb"/>
              <w:jc w:val="both"/>
              <w:textAlignment w:val="top"/>
            </w:pPr>
            <w:r>
              <w:t>1º a 8º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</w:tcPr>
          <w:p w:rsidR="00004AAE" w:rsidRPr="009476D4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r w:rsidRPr="009476D4">
              <w:rPr>
                <w:b/>
              </w:rPr>
              <w:t>Honduras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04AAE" w:rsidRPr="0047077E" w:rsidRDefault="00004AAE" w:rsidP="00B54C4E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004AAE" w:rsidRPr="0047077E" w:rsidTr="00004AAE">
        <w:trPr>
          <w:trHeight w:val="199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</w:p>
        </w:tc>
        <w:tc>
          <w:tcPr>
            <w:tcW w:w="2008" w:type="dxa"/>
            <w:tcBorders>
              <w:left w:val="single" w:sz="12" w:space="0" w:color="auto"/>
            </w:tcBorders>
          </w:tcPr>
          <w:p w:rsidR="00004AAE" w:rsidRPr="0047077E" w:rsidRDefault="00004AAE" w:rsidP="00B54C4E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709" w:type="dxa"/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1701" w:type="dxa"/>
          </w:tcPr>
          <w:p w:rsidR="00004AAE" w:rsidRPr="009476D4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r w:rsidRPr="009476D4">
              <w:rPr>
                <w:b/>
              </w:rPr>
              <w:t>La Sede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004AAE" w:rsidRPr="0047077E" w:rsidTr="00004AAE">
        <w:trPr>
          <w:trHeight w:val="199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2" w:space="0" w:color="auto"/>
            </w:tcBorders>
          </w:tcPr>
          <w:p w:rsidR="00004AAE" w:rsidRPr="0047077E" w:rsidRDefault="00004AAE" w:rsidP="00B54C4E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709" w:type="dxa"/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1701" w:type="dxa"/>
          </w:tcPr>
          <w:p w:rsidR="00004AAE" w:rsidRPr="009476D4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476D4">
              <w:rPr>
                <w:b/>
              </w:rPr>
              <w:t>Yepronor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04AAE" w:rsidRDefault="009476D4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004AAE" w:rsidRPr="0047077E" w:rsidTr="00004AAE">
        <w:trPr>
          <w:trHeight w:val="199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</w:p>
        </w:tc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</w:tcPr>
          <w:p w:rsidR="00004AAE" w:rsidRPr="009476D4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476D4">
              <w:rPr>
                <w:b/>
              </w:rPr>
              <w:t>Koky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04AAE" w:rsidRPr="0047077E" w:rsidRDefault="00004AAE" w:rsidP="00B54C4E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004AAE" w:rsidRPr="0047077E" w:rsidTr="00004AAE">
        <w:trPr>
          <w:trHeight w:val="248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  <w:r>
              <w:t>9º a 13º</w:t>
            </w:r>
          </w:p>
          <w:p w:rsidR="00004AAE" w:rsidRDefault="00004AAE" w:rsidP="00B54C4E">
            <w:pPr>
              <w:pStyle w:val="NormalWeb"/>
              <w:jc w:val="both"/>
              <w:textAlignment w:val="top"/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04AAE" w:rsidRPr="009476D4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476D4">
              <w:rPr>
                <w:b/>
              </w:rPr>
              <w:t>Tartanga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004AAE" w:rsidRPr="0047077E" w:rsidTr="00004AAE">
        <w:trPr>
          <w:trHeight w:val="248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</w:p>
        </w:tc>
        <w:tc>
          <w:tcPr>
            <w:tcW w:w="2008" w:type="dxa"/>
            <w:tcBorders>
              <w:left w:val="single" w:sz="12" w:space="0" w:color="auto"/>
            </w:tcBorders>
          </w:tcPr>
          <w:p w:rsidR="00004AAE" w:rsidRPr="009476D4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476D4">
              <w:rPr>
                <w:b/>
              </w:rPr>
              <w:t>Pindepa</w:t>
            </w:r>
            <w:proofErr w:type="spellEnd"/>
          </w:p>
        </w:tc>
        <w:tc>
          <w:tcPr>
            <w:tcW w:w="709" w:type="dxa"/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1701" w:type="dxa"/>
          </w:tcPr>
          <w:p w:rsidR="00004AAE" w:rsidRDefault="00004AAE" w:rsidP="00B54C4E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04AAE" w:rsidRDefault="009476D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004AAE" w:rsidRPr="0047077E" w:rsidTr="00004AAE">
        <w:trPr>
          <w:trHeight w:val="248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004AAE">
            <w:pPr>
              <w:pStyle w:val="NormalWeb"/>
              <w:jc w:val="both"/>
              <w:textAlignment w:val="top"/>
            </w:pPr>
          </w:p>
        </w:tc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</w:tcPr>
          <w:p w:rsidR="00004AAE" w:rsidRDefault="00004AAE" w:rsidP="00004AAE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04AAE" w:rsidRDefault="00004AAE" w:rsidP="00004AAE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D4C7D" w:rsidRDefault="00C05BB3" w:rsidP="00C05BB3">
      <w:pPr>
        <w:ind w:left="360"/>
      </w:pPr>
      <w:r>
        <w:t xml:space="preserve">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A755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031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D3F0A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9045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220F41" w:rsidRDefault="00220F41" w:rsidP="005B7CA7">
      <w:pPr>
        <w:rPr>
          <w:b/>
        </w:rPr>
      </w:pPr>
      <w:r>
        <w:rPr>
          <w:b/>
        </w:rPr>
        <w:t xml:space="preserve">           </w:t>
      </w:r>
    </w:p>
    <w:p w:rsidR="008B51CF" w:rsidRDefault="00E62D23" w:rsidP="005B7CA7">
      <w:pPr>
        <w:rPr>
          <w:b/>
        </w:rPr>
      </w:pPr>
      <w:r>
        <w:rPr>
          <w:b/>
        </w:rPr>
        <w:t xml:space="preserve">            </w:t>
      </w: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220F41" w:rsidRDefault="00220F41" w:rsidP="005B7CA7">
      <w:pPr>
        <w:rPr>
          <w:b/>
        </w:rPr>
      </w:pPr>
    </w:p>
    <w:p w:rsidR="005B7C1D" w:rsidRPr="005B7CA7" w:rsidRDefault="00F41B9A" w:rsidP="005B7CA7">
      <w:pPr>
        <w:rPr>
          <w:b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004AAE">
        <w:rPr>
          <w:b/>
          <w:u w:val="single"/>
        </w:rPr>
        <w:t>23</w:t>
      </w:r>
      <w:proofErr w:type="gramEnd"/>
      <w:r>
        <w:rPr>
          <w:b/>
          <w:u w:val="single"/>
        </w:rPr>
        <w:t xml:space="preserve"> </w:t>
      </w:r>
      <w:r w:rsidR="003F0E57">
        <w:rPr>
          <w:b/>
          <w:u w:val="single"/>
        </w:rPr>
        <w:t>febr</w:t>
      </w:r>
      <w:r w:rsidR="00A116B6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E62D23">
        <w:rPr>
          <w:b/>
        </w:rPr>
        <w:t xml:space="preserve">Copa - </w:t>
      </w:r>
      <w:r w:rsidR="00004AAE">
        <w:rPr>
          <w:b/>
        </w:rPr>
        <w:t>semifinales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551"/>
        <w:gridCol w:w="904"/>
        <w:gridCol w:w="1848"/>
        <w:gridCol w:w="2044"/>
      </w:tblGrid>
      <w:tr w:rsidR="001266D8" w:rsidRPr="0047077E" w:rsidTr="00F02D70">
        <w:trPr>
          <w:trHeight w:val="187"/>
        </w:trPr>
        <w:tc>
          <w:tcPr>
            <w:tcW w:w="990" w:type="dxa"/>
          </w:tcPr>
          <w:p w:rsidR="001266D8" w:rsidRPr="0047077E" w:rsidRDefault="00F02D70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51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04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3892" w:type="dxa"/>
            <w:gridSpan w:val="2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02D70" w:rsidRPr="0047077E" w:rsidTr="00F02D70">
        <w:trPr>
          <w:trHeight w:val="187"/>
        </w:trPr>
        <w:tc>
          <w:tcPr>
            <w:tcW w:w="990" w:type="dxa"/>
            <w:vMerge w:val="restart"/>
          </w:tcPr>
          <w:p w:rsidR="00F02D70" w:rsidRPr="001266D8" w:rsidRDefault="00F02D70" w:rsidP="00004AAE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1º-</w:t>
            </w:r>
            <w:r w:rsidR="00004AAE">
              <w:rPr>
                <w:b/>
              </w:rPr>
              <w:t>4</w:t>
            </w:r>
            <w:r>
              <w:rPr>
                <w:b/>
              </w:rPr>
              <w:t>º</w:t>
            </w:r>
          </w:p>
        </w:tc>
        <w:tc>
          <w:tcPr>
            <w:tcW w:w="1551" w:type="dxa"/>
          </w:tcPr>
          <w:p w:rsidR="00F02D70" w:rsidRPr="0047077E" w:rsidRDefault="00F02D70" w:rsidP="0017591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04" w:type="dxa"/>
          </w:tcPr>
          <w:p w:rsidR="00F02D70" w:rsidRPr="0047077E" w:rsidRDefault="00F02D70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848" w:type="dxa"/>
          </w:tcPr>
          <w:p w:rsidR="00F02D70" w:rsidRPr="0047077E" w:rsidRDefault="00B54C4E" w:rsidP="00B54C4E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044" w:type="dxa"/>
          </w:tcPr>
          <w:p w:rsidR="00F02D70" w:rsidRPr="0047077E" w:rsidRDefault="00B54C4E" w:rsidP="003F0E57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F02D70" w:rsidRPr="0047077E" w:rsidTr="00F02D70">
        <w:trPr>
          <w:trHeight w:val="199"/>
        </w:trPr>
        <w:tc>
          <w:tcPr>
            <w:tcW w:w="990" w:type="dxa"/>
            <w:vMerge/>
          </w:tcPr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F02D70" w:rsidRPr="0047077E" w:rsidRDefault="00F02D70" w:rsidP="00A02B0A">
            <w:pPr>
              <w:pStyle w:val="NormalWeb"/>
              <w:jc w:val="both"/>
              <w:textAlignment w:val="top"/>
            </w:pPr>
            <w:proofErr w:type="spellStart"/>
            <w:r>
              <w:t>A</w:t>
            </w:r>
            <w:r w:rsidR="00AE6704">
              <w:t>rrankudiaga</w:t>
            </w:r>
            <w:proofErr w:type="spellEnd"/>
          </w:p>
        </w:tc>
        <w:tc>
          <w:tcPr>
            <w:tcW w:w="904" w:type="dxa"/>
          </w:tcPr>
          <w:p w:rsidR="00F02D70" w:rsidRPr="0047077E" w:rsidRDefault="00AE6704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1848" w:type="dxa"/>
          </w:tcPr>
          <w:p w:rsidR="00F02D70" w:rsidRPr="0047077E" w:rsidRDefault="00B54C4E" w:rsidP="00B54C4E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044" w:type="dxa"/>
          </w:tcPr>
          <w:p w:rsidR="00F02D70" w:rsidRPr="0047077E" w:rsidRDefault="00B54C4E" w:rsidP="007C3A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CB4DB6" w:rsidRPr="0047077E" w:rsidTr="00F02D70">
        <w:trPr>
          <w:trHeight w:val="199"/>
        </w:trPr>
        <w:tc>
          <w:tcPr>
            <w:tcW w:w="990" w:type="dxa"/>
            <w:vMerge w:val="restart"/>
          </w:tcPr>
          <w:p w:rsidR="00CB4DB6" w:rsidRPr="001266D8" w:rsidRDefault="00CB4DB6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5º-8º</w:t>
            </w:r>
          </w:p>
        </w:tc>
        <w:tc>
          <w:tcPr>
            <w:tcW w:w="1551" w:type="dxa"/>
          </w:tcPr>
          <w:p w:rsidR="00CB4DB6" w:rsidRPr="0047077E" w:rsidRDefault="00CB4DB6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04" w:type="dxa"/>
          </w:tcPr>
          <w:p w:rsidR="00CB4DB6" w:rsidRPr="0047077E" w:rsidRDefault="00CB4DB6" w:rsidP="002634ED">
            <w:pPr>
              <w:pStyle w:val="NormalWeb"/>
              <w:jc w:val="center"/>
              <w:textAlignment w:val="top"/>
            </w:pPr>
            <w:r>
              <w:t>8:45</w:t>
            </w:r>
          </w:p>
        </w:tc>
        <w:tc>
          <w:tcPr>
            <w:tcW w:w="1848" w:type="dxa"/>
          </w:tcPr>
          <w:p w:rsidR="00CB4DB6" w:rsidRDefault="00CB4DB6" w:rsidP="00CB4DB6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044" w:type="dxa"/>
          </w:tcPr>
          <w:p w:rsidR="00CB4DB6" w:rsidRDefault="00CB4DB6" w:rsidP="00CB4DB6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/>
          </w:tcPr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F02D70" w:rsidRPr="0047077E" w:rsidRDefault="00DA216E" w:rsidP="00DA216E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</w:p>
        </w:tc>
        <w:tc>
          <w:tcPr>
            <w:tcW w:w="904" w:type="dxa"/>
          </w:tcPr>
          <w:p w:rsidR="00DA216E" w:rsidRPr="0047077E" w:rsidRDefault="00DA216E" w:rsidP="00DA216E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848" w:type="dxa"/>
          </w:tcPr>
          <w:p w:rsidR="00F02D70" w:rsidRPr="0047077E" w:rsidRDefault="00DA216E" w:rsidP="00DA216E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044" w:type="dxa"/>
          </w:tcPr>
          <w:p w:rsidR="00F02D70" w:rsidRPr="0047077E" w:rsidRDefault="00DA216E" w:rsidP="00D049CE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 w:val="restart"/>
          </w:tcPr>
          <w:p w:rsidR="00F02D70" w:rsidRDefault="00F02D70" w:rsidP="00F02D70">
            <w:pPr>
              <w:pStyle w:val="NormalWeb"/>
              <w:jc w:val="center"/>
              <w:textAlignment w:val="top"/>
              <w:rPr>
                <w:b/>
              </w:rPr>
            </w:pPr>
          </w:p>
          <w:p w:rsidR="00F02D70" w:rsidRPr="001266D8" w:rsidRDefault="00F02D70" w:rsidP="00F02D70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9º-13º</w:t>
            </w:r>
          </w:p>
        </w:tc>
        <w:tc>
          <w:tcPr>
            <w:tcW w:w="1551" w:type="dxa"/>
          </w:tcPr>
          <w:p w:rsidR="00F02D70" w:rsidRPr="0047077E" w:rsidRDefault="00B54C4E" w:rsidP="00B54C4E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04" w:type="dxa"/>
          </w:tcPr>
          <w:p w:rsidR="00F02D70" w:rsidRPr="00656E9D" w:rsidRDefault="00B54C4E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 w:rsidRPr="00B54C4E">
              <w:t>12:15</w:t>
            </w:r>
          </w:p>
        </w:tc>
        <w:tc>
          <w:tcPr>
            <w:tcW w:w="1848" w:type="dxa"/>
          </w:tcPr>
          <w:p w:rsidR="00F02D70" w:rsidRDefault="00CB4DB6" w:rsidP="00CB4DB6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044" w:type="dxa"/>
          </w:tcPr>
          <w:p w:rsidR="00F02D70" w:rsidRDefault="00CB4DB6" w:rsidP="00004AAE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004AAE" w:rsidRPr="0047077E" w:rsidTr="00F02D70">
        <w:trPr>
          <w:trHeight w:val="248"/>
        </w:trPr>
        <w:tc>
          <w:tcPr>
            <w:tcW w:w="990" w:type="dxa"/>
            <w:vMerge/>
          </w:tcPr>
          <w:p w:rsidR="00004AAE" w:rsidRPr="001266D8" w:rsidRDefault="00004AAE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004AAE" w:rsidRDefault="00DA216E" w:rsidP="00DA216E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04" w:type="dxa"/>
          </w:tcPr>
          <w:p w:rsidR="00004AAE" w:rsidRDefault="00DA216E" w:rsidP="002634ED">
            <w:pPr>
              <w:pStyle w:val="NormalWeb"/>
              <w:jc w:val="center"/>
              <w:textAlignment w:val="top"/>
            </w:pPr>
            <w:r>
              <w:t>10:30</w:t>
            </w:r>
          </w:p>
        </w:tc>
        <w:tc>
          <w:tcPr>
            <w:tcW w:w="1848" w:type="dxa"/>
          </w:tcPr>
          <w:p w:rsidR="00004AAE" w:rsidRDefault="00CB4DB6" w:rsidP="00DA216E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044" w:type="dxa"/>
          </w:tcPr>
          <w:p w:rsidR="00004AAE" w:rsidRDefault="00CB4DB6" w:rsidP="00B54C4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/>
          </w:tcPr>
          <w:p w:rsidR="00F02D70" w:rsidRDefault="00F02D70" w:rsidP="007D3546">
            <w:pPr>
              <w:pStyle w:val="NormalWeb"/>
              <w:jc w:val="center"/>
              <w:textAlignment w:val="top"/>
            </w:pPr>
          </w:p>
        </w:tc>
        <w:tc>
          <w:tcPr>
            <w:tcW w:w="2455" w:type="dxa"/>
            <w:gridSpan w:val="2"/>
          </w:tcPr>
          <w:p w:rsidR="00F02D70" w:rsidRDefault="00B54C4E" w:rsidP="00B54C4E">
            <w:pPr>
              <w:pStyle w:val="NormalWeb"/>
              <w:jc w:val="center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3892" w:type="dxa"/>
            <w:gridSpan w:val="2"/>
          </w:tcPr>
          <w:p w:rsidR="00F02D70" w:rsidRDefault="00AE6704" w:rsidP="00AE6704">
            <w:pPr>
              <w:pStyle w:val="NormalWeb"/>
              <w:jc w:val="both"/>
              <w:textAlignment w:val="top"/>
            </w:pPr>
            <w:r>
              <w:t>d</w:t>
            </w:r>
            <w:r w:rsidR="00F02D70">
              <w:t xml:space="preserve">escansa 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A216E">
        <w:t>7, 14, 15</w:t>
      </w:r>
      <w:r w:rsidR="00B51563">
        <w:t>.</w:t>
      </w:r>
    </w:p>
    <w:p w:rsidR="002936E9" w:rsidRPr="002936E9" w:rsidRDefault="002936E9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  <w:ind w:left="2694" w:hanging="142"/>
        <w:rPr>
          <w:u w:val="single"/>
        </w:rPr>
      </w:pPr>
      <w:r>
        <w:t xml:space="preserve"> al </w:t>
      </w:r>
      <w:proofErr w:type="spellStart"/>
      <w:r>
        <w:t>num.</w:t>
      </w:r>
      <w:proofErr w:type="spellEnd"/>
      <w:r>
        <w:t xml:space="preserve"> 14 (Gustavo Álvarez) se le sanciona con un partido de suspensión por acumulación de tarjetas amarillas. 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0316F0" w:rsidRDefault="00305EC4" w:rsidP="00305EC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CB4DB6">
        <w:t>2</w:t>
      </w:r>
      <w:r w:rsidR="00AE6704">
        <w:t xml:space="preserve">, </w:t>
      </w:r>
      <w:r w:rsidR="00CB4DB6">
        <w:t xml:space="preserve">3, </w:t>
      </w:r>
      <w:r w:rsidR="00AE6704">
        <w:t>8, 1</w:t>
      </w:r>
      <w:r w:rsidR="00CB4DB6">
        <w:t>7</w:t>
      </w:r>
      <w:r w:rsidR="00AE6704">
        <w:t>, 2</w:t>
      </w:r>
      <w:r w:rsidR="00CB4DB6">
        <w:t>7</w:t>
      </w:r>
      <w:r w:rsidR="00AE6704">
        <w:t xml:space="preserve">, </w:t>
      </w:r>
      <w:r w:rsidR="00CB4DB6">
        <w:t>delegado, Delegado</w:t>
      </w:r>
      <w:r w:rsidR="000316F0">
        <w:t>.</w:t>
      </w:r>
      <w:r w:rsidR="00E325F5">
        <w:t xml:space="preserve">  </w:t>
      </w:r>
    </w:p>
    <w:p w:rsidR="001F6554" w:rsidRPr="00376CAA" w:rsidRDefault="00CB4DB6" w:rsidP="001F6554">
      <w:pPr>
        <w:ind w:left="2520"/>
        <w:rPr>
          <w:u w:val="single"/>
        </w:rPr>
      </w:pPr>
      <w:r>
        <w:t xml:space="preserve">Se amonesta al Delegado (Rubén Darío Herrera) por sus </w:t>
      </w:r>
      <w:proofErr w:type="spellStart"/>
      <w:r>
        <w:t>contínuas</w:t>
      </w:r>
      <w:proofErr w:type="spellEnd"/>
      <w:r>
        <w:t xml:space="preserve"> protestas al árbitro e incumplimiento </w:t>
      </w:r>
      <w:r w:rsidR="002936E9">
        <w:t xml:space="preserve">adecuado </w:t>
      </w:r>
      <w:r>
        <w:t xml:space="preserve">de sus </w:t>
      </w:r>
      <w:r w:rsidR="002936E9">
        <w:t>tareas</w:t>
      </w:r>
      <w:r w:rsidR="001F6554">
        <w:t xml:space="preserve">.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2936E9" w:rsidRDefault="0026205F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5, 6, 6, 8</w:t>
      </w:r>
      <w:r w:rsidR="0019259A">
        <w:t>.</w:t>
      </w:r>
      <w:r w:rsidR="002936E9" w:rsidRPr="002936E9">
        <w:t xml:space="preserve"> </w:t>
      </w:r>
    </w:p>
    <w:p w:rsidR="002936E9" w:rsidRPr="002936E9" w:rsidRDefault="002936E9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  <w:ind w:left="2694" w:hanging="142"/>
        <w:rPr>
          <w:u w:val="single"/>
        </w:rPr>
      </w:pPr>
      <w:r>
        <w:t xml:space="preserve">al </w:t>
      </w:r>
      <w:proofErr w:type="spellStart"/>
      <w:r>
        <w:t>num.</w:t>
      </w:r>
      <w:proofErr w:type="spellEnd"/>
      <w:r>
        <w:t xml:space="preserve"> 6 (Luis Manuel López Torres) se le sanciona con un partido de suspensión por acumulación de tarjetas amarillas.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2936E9">
        <w:t>4, 16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 xml:space="preserve">2, </w:t>
      </w:r>
      <w:r w:rsidR="002936E9">
        <w:t>12, 27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18</w:t>
      </w:r>
      <w:r w:rsidR="001F6554">
        <w:t>, 19</w:t>
      </w:r>
      <w:r w:rsidR="002936E9">
        <w:t>, 21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2</w:t>
      </w:r>
      <w:r>
        <w:t>.</w:t>
      </w:r>
    </w:p>
    <w:p w:rsidR="002936E9" w:rsidRDefault="002936E9" w:rsidP="00624ACA">
      <w:pPr>
        <w:numPr>
          <w:ilvl w:val="3"/>
          <w:numId w:val="11"/>
        </w:numPr>
        <w:tabs>
          <w:tab w:val="clear" w:pos="2880"/>
          <w:tab w:val="num" w:pos="2694"/>
        </w:tabs>
      </w:pP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14, 17, 24</w:t>
      </w:r>
      <w:r w:rsidR="00065E5A">
        <w:t>.</w:t>
      </w:r>
    </w:p>
    <w:p w:rsidR="000A7D2E" w:rsidRDefault="000A7D2E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11, 14, 18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17, 17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Ragde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Villagrá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la sanciona con dos partidos de suspensión y 12 euros de multa por forcejear con un contrario </w:t>
            </w:r>
            <w:r>
              <w:rPr>
                <w:sz w:val="20"/>
                <w:szCs w:val="20"/>
              </w:rPr>
              <w:lastRenderedPageBreak/>
              <w:t>que previamente le había agredido.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111E3B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Pr="00273FC1" w:rsidRDefault="00273FC1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Lahcen</w:t>
            </w:r>
            <w:proofErr w:type="spellEnd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Ait</w:t>
            </w:r>
            <w:proofErr w:type="spellEnd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Lbacha</w:t>
            </w:r>
            <w:proofErr w:type="spellEnd"/>
          </w:p>
          <w:p w:rsidR="00273FC1" w:rsidRPr="00273FC1" w:rsidRDefault="00273FC1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(num.28)</w:t>
            </w:r>
          </w:p>
        </w:tc>
        <w:tc>
          <w:tcPr>
            <w:tcW w:w="1134" w:type="dxa"/>
          </w:tcPr>
          <w:p w:rsidR="00273FC1" w:rsidRPr="00273FC1" w:rsidRDefault="00273FC1" w:rsidP="000B2C2B">
            <w:pPr>
              <w:rPr>
                <w:sz w:val="20"/>
                <w:szCs w:val="20"/>
              </w:rPr>
            </w:pPr>
            <w:proofErr w:type="spellStart"/>
            <w:r w:rsidRPr="00273FC1">
              <w:rPr>
                <w:sz w:val="20"/>
                <w:szCs w:val="20"/>
              </w:rPr>
              <w:t>Atlantic</w:t>
            </w:r>
            <w:proofErr w:type="spellEnd"/>
            <w:r w:rsidRPr="00273FC1"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273FC1" w:rsidRPr="00273FC1" w:rsidRDefault="00273FC1" w:rsidP="000B2C2B">
            <w:pPr>
              <w:jc w:val="center"/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23-2-2025</w:t>
            </w:r>
          </w:p>
        </w:tc>
        <w:tc>
          <w:tcPr>
            <w:tcW w:w="1276" w:type="dxa"/>
          </w:tcPr>
          <w:p w:rsidR="00273FC1" w:rsidRPr="00273FC1" w:rsidRDefault="00273FC1" w:rsidP="000B2C2B">
            <w:pPr>
              <w:jc w:val="center"/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23-2-2025</w:t>
            </w:r>
          </w:p>
        </w:tc>
        <w:tc>
          <w:tcPr>
            <w:tcW w:w="4253" w:type="dxa"/>
          </w:tcPr>
          <w:p w:rsidR="00273FC1" w:rsidRPr="00273FC1" w:rsidRDefault="00273FC1" w:rsidP="00273FC1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273FC1" w:rsidRPr="00273FC1" w:rsidRDefault="00273FC1" w:rsidP="00273FC1">
            <w:pPr>
              <w:rPr>
                <w:sz w:val="20"/>
                <w:szCs w:val="20"/>
              </w:rPr>
            </w:pPr>
          </w:p>
          <w:p w:rsidR="00273FC1" w:rsidRPr="00273FC1" w:rsidRDefault="00273FC1" w:rsidP="00273FC1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Acta del 9-2-2025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Pr="00273FC1" w:rsidRDefault="00B57FDE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Gustavo Álvarez</w:t>
            </w:r>
          </w:p>
          <w:p w:rsidR="00273FC1" w:rsidRPr="00273FC1" w:rsidRDefault="00273FC1" w:rsidP="00B57FD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</w:t>
            </w:r>
            <w:r w:rsidR="00B57FDE">
              <w:rPr>
                <w:bCs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73FC1" w:rsidRPr="00273FC1" w:rsidRDefault="00B57FDE" w:rsidP="002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273FC1" w:rsidRPr="00273FC1" w:rsidRDefault="00B57FDE" w:rsidP="00B5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73FC1"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1276" w:type="dxa"/>
          </w:tcPr>
          <w:p w:rsidR="00273FC1" w:rsidRPr="00273FC1" w:rsidRDefault="00B57FDE" w:rsidP="00B5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  <w:r w:rsidR="00273FC1" w:rsidRPr="00273FC1">
              <w:rPr>
                <w:sz w:val="20"/>
                <w:szCs w:val="20"/>
              </w:rPr>
              <w:t>2-2025</w:t>
            </w:r>
          </w:p>
        </w:tc>
        <w:tc>
          <w:tcPr>
            <w:tcW w:w="4253" w:type="dxa"/>
          </w:tcPr>
          <w:p w:rsidR="00273FC1" w:rsidRPr="00273FC1" w:rsidRDefault="00273FC1" w:rsidP="00B54C4E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273FC1" w:rsidRPr="00273FC1" w:rsidRDefault="00273FC1" w:rsidP="00B54C4E">
            <w:pPr>
              <w:rPr>
                <w:sz w:val="20"/>
                <w:szCs w:val="20"/>
              </w:rPr>
            </w:pPr>
          </w:p>
          <w:p w:rsidR="00273FC1" w:rsidRPr="00273FC1" w:rsidRDefault="00273FC1" w:rsidP="00B57FDE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 xml:space="preserve">Acta del </w:t>
            </w:r>
            <w:r w:rsidR="00B57FDE">
              <w:rPr>
                <w:sz w:val="20"/>
                <w:szCs w:val="20"/>
              </w:rPr>
              <w:t>16</w:t>
            </w:r>
            <w:r w:rsidRPr="00273FC1">
              <w:rPr>
                <w:sz w:val="20"/>
                <w:szCs w:val="20"/>
              </w:rPr>
              <w:t>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Pr="00273FC1" w:rsidRDefault="00B57FDE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Luis Manuel López Torres</w:t>
            </w:r>
          </w:p>
          <w:p w:rsidR="00273FC1" w:rsidRPr="00273FC1" w:rsidRDefault="00273FC1" w:rsidP="00B57FD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</w:t>
            </w:r>
            <w:r w:rsidR="00B57FDE">
              <w:rPr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73FC1" w:rsidRPr="00273FC1" w:rsidRDefault="00B57FDE" w:rsidP="00B5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Honduras</w:t>
            </w:r>
          </w:p>
        </w:tc>
        <w:tc>
          <w:tcPr>
            <w:tcW w:w="1275" w:type="dxa"/>
          </w:tcPr>
          <w:p w:rsidR="00273FC1" w:rsidRPr="00273FC1" w:rsidRDefault="00B57FDE" w:rsidP="00B5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73FC1"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1276" w:type="dxa"/>
          </w:tcPr>
          <w:p w:rsidR="00273FC1" w:rsidRPr="00273FC1" w:rsidRDefault="00B57FDE" w:rsidP="00B5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73FC1"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4253" w:type="dxa"/>
          </w:tcPr>
          <w:p w:rsidR="00273FC1" w:rsidRPr="00273FC1" w:rsidRDefault="00273FC1" w:rsidP="00B54C4E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273FC1" w:rsidRPr="00273FC1" w:rsidRDefault="00273FC1" w:rsidP="00B54C4E">
            <w:pPr>
              <w:rPr>
                <w:sz w:val="20"/>
                <w:szCs w:val="20"/>
              </w:rPr>
            </w:pPr>
          </w:p>
          <w:p w:rsidR="00273FC1" w:rsidRPr="00273FC1" w:rsidRDefault="00273FC1" w:rsidP="00B57FDE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 xml:space="preserve">Acta del </w:t>
            </w:r>
            <w:r w:rsidR="00B57FDE">
              <w:rPr>
                <w:sz w:val="20"/>
                <w:szCs w:val="20"/>
              </w:rPr>
              <w:t>16</w:t>
            </w:r>
            <w:r w:rsidRPr="00273FC1">
              <w:rPr>
                <w:sz w:val="20"/>
                <w:szCs w:val="20"/>
              </w:rPr>
              <w:t>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Default="00273FC1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Ismael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Elkaurori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3FC1" w:rsidRDefault="00273FC1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273FC1" w:rsidRDefault="00273FC1" w:rsidP="00B54C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273FC1" w:rsidRDefault="00273FC1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16-2-2025</w:t>
            </w:r>
          </w:p>
        </w:tc>
        <w:tc>
          <w:tcPr>
            <w:tcW w:w="1276" w:type="dxa"/>
          </w:tcPr>
          <w:p w:rsidR="00273FC1" w:rsidRDefault="00273FC1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9-3-2025</w:t>
            </w:r>
          </w:p>
        </w:tc>
        <w:tc>
          <w:tcPr>
            <w:tcW w:w="4253" w:type="dxa"/>
          </w:tcPr>
          <w:p w:rsidR="00273FC1" w:rsidRDefault="00273FC1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insultos graves al árbitro.</w:t>
            </w:r>
          </w:p>
          <w:p w:rsidR="00273FC1" w:rsidRDefault="00273FC1" w:rsidP="00B54C4E">
            <w:pPr>
              <w:rPr>
                <w:sz w:val="20"/>
                <w:szCs w:val="20"/>
              </w:rPr>
            </w:pPr>
          </w:p>
          <w:p w:rsidR="00273FC1" w:rsidRPr="00273FC1" w:rsidRDefault="00273FC1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9-2-2025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lastRenderedPageBreak/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202DC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D23" w:rsidP="00E62D23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D23" w:rsidP="00397CED">
            <w:pPr>
              <w:spacing w:before="100" w:after="100"/>
              <w:jc w:val="center"/>
            </w:pPr>
            <w:r>
              <w:t>2</w:t>
            </w:r>
            <w:r w:rsidR="00397CED">
              <w:t>24,98</w:t>
            </w:r>
            <w:r w:rsidR="00610414">
              <w:t xml:space="preserve"> €</w:t>
            </w:r>
          </w:p>
        </w:tc>
      </w:tr>
      <w:tr w:rsidR="00E62D23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D23" w:rsidRDefault="00E62D23" w:rsidP="00E62D23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D23" w:rsidRDefault="00E62D23" w:rsidP="00397CED">
            <w:pPr>
              <w:spacing w:before="100" w:after="100"/>
              <w:jc w:val="center"/>
            </w:pPr>
            <w:r>
              <w:t>3</w:t>
            </w:r>
            <w:r w:rsidR="00397CED">
              <w:t>95,95</w:t>
            </w:r>
            <w:r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4F" w:rsidRDefault="00B9174F">
      <w:r>
        <w:separator/>
      </w:r>
    </w:p>
  </w:endnote>
  <w:endnote w:type="continuationSeparator" w:id="0">
    <w:p w:rsidR="00B9174F" w:rsidRDefault="00B9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B6" w:rsidRDefault="00CB4DB6">
    <w:pPr>
      <w:pStyle w:val="Piedepgina"/>
      <w:pBdr>
        <w:bottom w:val="single" w:sz="12" w:space="1" w:color="auto"/>
      </w:pBdr>
    </w:pPr>
  </w:p>
  <w:p w:rsidR="00CB4DB6" w:rsidRPr="00B62BB2" w:rsidRDefault="00CB4DB6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15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16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Copa 2024 / 2025 Cuartos de final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6F6F67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6F6F67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4F" w:rsidRDefault="00B9174F">
      <w:r>
        <w:separator/>
      </w:r>
    </w:p>
  </w:footnote>
  <w:footnote w:type="continuationSeparator" w:id="0">
    <w:p w:rsidR="00B9174F" w:rsidRDefault="00B91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8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174F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4991"/>
    <w:rsid w:val="00E9627F"/>
    <w:rsid w:val="00E96556"/>
    <w:rsid w:val="00E9713B"/>
    <w:rsid w:val="00E97B21"/>
    <w:rsid w:val="00EA0215"/>
    <w:rsid w:val="00EA08A5"/>
    <w:rsid w:val="00EA10D1"/>
    <w:rsid w:val="00EA1B1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A8C58-2A97-4EB6-9194-39CE8DC4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1784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2025-01-27T20:13:00Z</cp:lastPrinted>
  <dcterms:created xsi:type="dcterms:W3CDTF">2025-02-16T17:04:00Z</dcterms:created>
  <dcterms:modified xsi:type="dcterms:W3CDTF">2025-02-16T21:25:00Z</dcterms:modified>
</cp:coreProperties>
</file>